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2F45" w14:textId="77777777" w:rsidR="00BB1676" w:rsidRDefault="00C30249" w:rsidP="00043069">
      <w:pPr>
        <w:jc w:val="center"/>
        <w:rPr>
          <w:rFonts w:asciiTheme="minorHAnsi" w:eastAsia="Times New Roman" w:hAnsiTheme="minorHAnsi" w:cs="Arial"/>
          <w:sz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6A093D1" wp14:editId="79537564">
            <wp:simplePos x="0" y="0"/>
            <wp:positionH relativeFrom="column">
              <wp:posOffset>-149860</wp:posOffset>
            </wp:positionH>
            <wp:positionV relativeFrom="paragraph">
              <wp:posOffset>-387019</wp:posOffset>
            </wp:positionV>
            <wp:extent cx="1837690" cy="7772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scs-logo-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777240"/>
                    </a:xfrm>
                    <a:prstGeom prst="rect">
                      <a:avLst/>
                    </a:prstGeom>
                    <a:noFill/>
                    <a:ln w="12700" cap="sq">
                      <a:noFill/>
                      <a:beve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CB6D93" wp14:editId="443757C6">
                <wp:simplePos x="0" y="0"/>
                <wp:positionH relativeFrom="margin">
                  <wp:align>center</wp:align>
                </wp:positionH>
                <wp:positionV relativeFrom="paragraph">
                  <wp:posOffset>-476250</wp:posOffset>
                </wp:positionV>
                <wp:extent cx="6400800" cy="937260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37260"/>
                        </a:xfrm>
                        <a:prstGeom prst="rect">
                          <a:avLst/>
                        </a:prstGeom>
                        <a:solidFill>
                          <a:srgbClr val="ECF785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463A06" w14:textId="77777777" w:rsidR="006916B9" w:rsidRPr="00C30249" w:rsidRDefault="006916B9" w:rsidP="00BB1676">
                            <w:pPr>
                              <w:pStyle w:val="Default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0249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JOB AIDS AND RESOURCES</w:t>
                            </w:r>
                          </w:p>
                          <w:p w14:paraId="682CE75F" w14:textId="77777777" w:rsidR="00EC2C99" w:rsidRPr="00C30249" w:rsidRDefault="006916B9" w:rsidP="00700F1D">
                            <w:pPr>
                              <w:pStyle w:val="Default"/>
                              <w:jc w:val="right"/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</w:pPr>
                            <w:r w:rsidRPr="00C30249"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  <w:t>Layoff Checklist</w:t>
                            </w:r>
                            <w:r w:rsidR="001B5674" w:rsidRPr="00C30249"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  <w:t>: Permanent Employees or</w:t>
                            </w:r>
                          </w:p>
                          <w:p w14:paraId="1DB516A2" w14:textId="77777777" w:rsidR="001B5674" w:rsidRPr="00C30249" w:rsidRDefault="001B5674" w:rsidP="00700F1D">
                            <w:pPr>
                              <w:pStyle w:val="Default"/>
                              <w:jc w:val="right"/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</w:pPr>
                            <w:r w:rsidRPr="00C30249"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  <w:t>Both Perm</w:t>
                            </w:r>
                            <w:r w:rsidR="00F475E5"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  <w:t>anent</w:t>
                            </w:r>
                            <w:r w:rsidRPr="00C30249"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75E5"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  <w:t>and</w:t>
                            </w:r>
                            <w:r w:rsidRPr="00C30249"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  <w:t xml:space="preserve"> Probational Employees </w:t>
                            </w:r>
                          </w:p>
                          <w:p w14:paraId="473206A3" w14:textId="69860156" w:rsidR="006916B9" w:rsidRPr="00C30249" w:rsidRDefault="00EC2C99" w:rsidP="00700F1D">
                            <w:pPr>
                              <w:pStyle w:val="Default"/>
                              <w:jc w:val="right"/>
                              <w:rPr>
                                <w:rFonts w:ascii="Century Gothic" w:hAnsi="Century Gothic"/>
                                <w:bCs/>
                                <w:i/>
                                <w:sz w:val="18"/>
                                <w:szCs w:val="20"/>
                              </w:rPr>
                            </w:pPr>
                            <w:r w:rsidRPr="00C30249">
                              <w:rPr>
                                <w:rFonts w:ascii="Century Gothic" w:hAnsi="Century Gothic"/>
                                <w:bCs/>
                                <w:i/>
                                <w:sz w:val="18"/>
                                <w:szCs w:val="20"/>
                              </w:rPr>
                              <w:t xml:space="preserve">Revised </w:t>
                            </w:r>
                            <w:proofErr w:type="gramStart"/>
                            <w:r w:rsidR="008D6F64">
                              <w:rPr>
                                <w:rFonts w:ascii="Century Gothic" w:hAnsi="Century Gothic"/>
                                <w:bCs/>
                                <w:i/>
                                <w:sz w:val="18"/>
                                <w:szCs w:val="20"/>
                              </w:rPr>
                              <w:t>10/18</w:t>
                            </w:r>
                            <w:r w:rsidR="00D36275">
                              <w:rPr>
                                <w:rFonts w:ascii="Century Gothic" w:hAnsi="Century Gothic"/>
                                <w:bCs/>
                                <w:i/>
                                <w:sz w:val="18"/>
                                <w:szCs w:val="20"/>
                              </w:rPr>
                              <w:t>/23</w:t>
                            </w:r>
                            <w:proofErr w:type="gramEnd"/>
                            <w:r w:rsidR="006916B9" w:rsidRPr="00C30249">
                              <w:rPr>
                                <w:rFonts w:ascii="Century Gothic" w:hAnsi="Century Gothic"/>
                                <w:bCs/>
                                <w:i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B6D93" id="Rectangle 1" o:spid="_x0000_s1026" style="position:absolute;left:0;text-align:left;margin-left:0;margin-top:-37.5pt;width:7in;height:73.8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" fillcolor="#ecf785" strokecolor="black [3213]" strokeweight="1pt">
                <v:textbox>
                  <w:txbxContent>
                    <w:p w14:paraId="73463A06" w14:textId="77777777" w:rsidR="006916B9" w:rsidRPr="00C30249" w:rsidRDefault="006916B9" w:rsidP="00BB1676">
                      <w:pPr>
                        <w:pStyle w:val="Default"/>
                        <w:jc w:val="right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r w:rsidRPr="00C30249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JOB AIDS AND RESOURCES</w:t>
                      </w:r>
                    </w:p>
                    <w:p w14:paraId="682CE75F" w14:textId="77777777" w:rsidR="00EC2C99" w:rsidRPr="00C30249" w:rsidRDefault="006916B9" w:rsidP="00700F1D">
                      <w:pPr>
                        <w:pStyle w:val="Default"/>
                        <w:jc w:val="right"/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</w:pPr>
                      <w:r w:rsidRPr="00C30249"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  <w:t>Layoff Checklist</w:t>
                      </w:r>
                      <w:r w:rsidR="001B5674" w:rsidRPr="00C30249"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  <w:t>: Permanent Employees or</w:t>
                      </w:r>
                    </w:p>
                    <w:p w14:paraId="1DB516A2" w14:textId="77777777" w:rsidR="001B5674" w:rsidRPr="00C30249" w:rsidRDefault="001B5674" w:rsidP="00700F1D">
                      <w:pPr>
                        <w:pStyle w:val="Default"/>
                        <w:jc w:val="right"/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</w:pPr>
                      <w:r w:rsidRPr="00C30249"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  <w:t>Both Perm</w:t>
                      </w:r>
                      <w:r w:rsidR="00F475E5"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  <w:t>anent</w:t>
                      </w:r>
                      <w:r w:rsidRPr="00C30249"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475E5"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  <w:t>and</w:t>
                      </w:r>
                      <w:r w:rsidRPr="00C30249"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  <w:t xml:space="preserve"> Probational Employees </w:t>
                      </w:r>
                    </w:p>
                    <w:p w14:paraId="473206A3" w14:textId="69860156" w:rsidR="006916B9" w:rsidRPr="00C30249" w:rsidRDefault="00EC2C99" w:rsidP="00700F1D">
                      <w:pPr>
                        <w:pStyle w:val="Default"/>
                        <w:jc w:val="right"/>
                        <w:rPr>
                          <w:rFonts w:ascii="Century Gothic" w:hAnsi="Century Gothic"/>
                          <w:bCs/>
                          <w:i/>
                          <w:sz w:val="18"/>
                          <w:szCs w:val="20"/>
                        </w:rPr>
                      </w:pPr>
                      <w:r w:rsidRPr="00C30249">
                        <w:rPr>
                          <w:rFonts w:ascii="Century Gothic" w:hAnsi="Century Gothic"/>
                          <w:bCs/>
                          <w:i/>
                          <w:sz w:val="18"/>
                          <w:szCs w:val="20"/>
                        </w:rPr>
                        <w:t xml:space="preserve">Revised </w:t>
                      </w:r>
                      <w:proofErr w:type="gramStart"/>
                      <w:r w:rsidR="008D6F64">
                        <w:rPr>
                          <w:rFonts w:ascii="Century Gothic" w:hAnsi="Century Gothic"/>
                          <w:bCs/>
                          <w:i/>
                          <w:sz w:val="18"/>
                          <w:szCs w:val="20"/>
                        </w:rPr>
                        <w:t>10/18</w:t>
                      </w:r>
                      <w:r w:rsidR="00D36275">
                        <w:rPr>
                          <w:rFonts w:ascii="Century Gothic" w:hAnsi="Century Gothic"/>
                          <w:bCs/>
                          <w:i/>
                          <w:sz w:val="18"/>
                          <w:szCs w:val="20"/>
                        </w:rPr>
                        <w:t>/23</w:t>
                      </w:r>
                      <w:proofErr w:type="gramEnd"/>
                      <w:r w:rsidR="006916B9" w:rsidRPr="00C30249">
                        <w:rPr>
                          <w:rFonts w:ascii="Century Gothic" w:hAnsi="Century Gothic"/>
                          <w:bCs/>
                          <w:i/>
                          <w:sz w:val="18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1E4C39" w14:textId="77777777" w:rsidR="00BB1676" w:rsidRDefault="00025AE5" w:rsidP="00043069">
      <w:pPr>
        <w:jc w:val="center"/>
        <w:rPr>
          <w:rFonts w:asciiTheme="minorHAnsi" w:eastAsia="Times New Roman" w:hAnsiTheme="minorHAnsi" w:cs="Arial"/>
          <w:sz w:val="22"/>
        </w:rPr>
      </w:pPr>
      <w:r>
        <w:rPr>
          <w:rFonts w:asciiTheme="minorHAnsi" w:eastAsia="Times New Roman" w:hAnsiTheme="minorHAnsi" w:cs="Arial"/>
          <w:sz w:val="22"/>
        </w:rPr>
        <w:t xml:space="preserve"> </w:t>
      </w:r>
    </w:p>
    <w:p w14:paraId="2A5EFE99" w14:textId="77777777" w:rsidR="00BB1676" w:rsidRDefault="00BB1676" w:rsidP="00043069">
      <w:pPr>
        <w:jc w:val="center"/>
        <w:rPr>
          <w:rFonts w:asciiTheme="minorHAnsi" w:eastAsia="Times New Roman" w:hAnsiTheme="minorHAnsi" w:cs="Arial"/>
          <w:sz w:val="22"/>
        </w:rPr>
      </w:pPr>
    </w:p>
    <w:p w14:paraId="195A0FE5" w14:textId="77777777" w:rsidR="00301A06" w:rsidRPr="00775211" w:rsidRDefault="00301A06" w:rsidP="00301A06">
      <w:pPr>
        <w:autoSpaceDE w:val="0"/>
        <w:autoSpaceDN w:val="0"/>
        <w:adjustRightInd w:val="0"/>
        <w:jc w:val="left"/>
        <w:rPr>
          <w:rFonts w:asciiTheme="minorHAnsi" w:hAnsiTheme="minorHAnsi" w:cs="Times New Roman"/>
          <w:bCs/>
          <w:szCs w:val="24"/>
        </w:rPr>
      </w:pPr>
    </w:p>
    <w:p w14:paraId="2F2095A4" w14:textId="77777777" w:rsidR="00700F1D" w:rsidRDefault="00700F1D" w:rsidP="00C30249">
      <w:pPr>
        <w:spacing w:after="200" w:line="276" w:lineRule="auto"/>
        <w:rPr>
          <w:rFonts w:ascii="Calibri" w:eastAsia="Calibri" w:hAnsi="Calibri" w:cs="Times New Roman"/>
          <w:sz w:val="22"/>
        </w:rPr>
      </w:pPr>
      <w:r w:rsidRPr="00700F1D">
        <w:rPr>
          <w:rFonts w:ascii="Calibri" w:eastAsia="Calibri" w:hAnsi="Calibri" w:cs="Times New Roman"/>
          <w:sz w:val="22"/>
        </w:rPr>
        <w:t xml:space="preserve">This Layoff Checklist is designed to be used in conjunction with the </w:t>
      </w:r>
      <w:r>
        <w:rPr>
          <w:rFonts w:ascii="Calibri" w:eastAsia="Calibri" w:hAnsi="Calibri" w:cs="Times New Roman"/>
          <w:sz w:val="22"/>
        </w:rPr>
        <w:t>Layoff Guidelines.</w:t>
      </w:r>
      <w:r w:rsidR="00CD50E5">
        <w:rPr>
          <w:rFonts w:ascii="Calibri" w:eastAsia="Calibri" w:hAnsi="Calibri" w:cs="Times New Roman"/>
          <w:sz w:val="22"/>
        </w:rPr>
        <w:t xml:space="preserve"> </w:t>
      </w:r>
      <w:r w:rsidRPr="00700F1D">
        <w:rPr>
          <w:rFonts w:ascii="Calibri" w:eastAsia="Calibri" w:hAnsi="Calibri" w:cs="Times New Roman"/>
          <w:sz w:val="22"/>
        </w:rPr>
        <w:t>Be sure to refer to the guidelines for assistance in assigning dates to each of the tasks below.</w:t>
      </w: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7017"/>
        <w:gridCol w:w="1098"/>
        <w:gridCol w:w="1368"/>
      </w:tblGrid>
      <w:tr w:rsidR="001B5674" w:rsidRPr="00700F1D" w14:paraId="3C463567" w14:textId="77777777" w:rsidTr="00C30249">
        <w:trPr>
          <w:trHeight w:val="715"/>
        </w:trPr>
        <w:tc>
          <w:tcPr>
            <w:tcW w:w="94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0197911" w14:textId="77777777" w:rsidR="001B5674" w:rsidRPr="00C30249" w:rsidRDefault="001B5674" w:rsidP="00C30249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</w:rPr>
            </w:pPr>
            <w:r w:rsidRPr="00C30249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 w:val="28"/>
              </w:rPr>
              <w:t>Agency Name:</w:t>
            </w:r>
            <w:r w:rsidR="00185684" w:rsidRPr="00C30249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 w:val="28"/>
              </w:rPr>
              <w:t xml:space="preserve"> </w:t>
            </w:r>
          </w:p>
        </w:tc>
      </w:tr>
      <w:tr w:rsidR="00700F1D" w:rsidRPr="00700F1D" w14:paraId="677FC599" w14:textId="77777777" w:rsidTr="00C30249">
        <w:trPr>
          <w:trHeight w:val="402"/>
        </w:trPr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7B7B0B" w14:textId="77777777" w:rsidR="00700F1D" w:rsidRPr="00C30249" w:rsidRDefault="00C30249" w:rsidP="00C302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>TASK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2C51E7" w14:textId="77777777" w:rsidR="00700F1D" w:rsidRPr="00C30249" w:rsidRDefault="00700F1D" w:rsidP="00700F1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C3024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>Target Date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4EDCF7" w14:textId="77777777" w:rsidR="00700F1D" w:rsidRPr="00C30249" w:rsidRDefault="00700F1D" w:rsidP="00700F1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C3024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>Completed Date</w:t>
            </w:r>
          </w:p>
        </w:tc>
      </w:tr>
      <w:tr w:rsidR="00700F1D" w:rsidRPr="00700F1D" w14:paraId="55B50656" w14:textId="77777777" w:rsidTr="00883370">
        <w:trPr>
          <w:trHeight w:val="402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C5E91" w14:textId="77777777" w:rsidR="00700F1D" w:rsidRPr="00C30249" w:rsidRDefault="00700F1D" w:rsidP="001466DD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>Adjusted Service Dates Verified</w:t>
            </w:r>
            <w:r w:rsidR="001A0431"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by </w:t>
            </w:r>
            <w:r w:rsidR="00CD50E5"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SCS </w:t>
            </w:r>
            <w:r w:rsidR="001A0431"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>Calculator</w:t>
            </w:r>
            <w:r w:rsidR="00CD50E5"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(</w:t>
            </w:r>
            <w:hyperlink r:id="rId8" w:history="1">
              <w:r w:rsidR="00CD50E5" w:rsidRPr="00C30249">
                <w:rPr>
                  <w:rStyle w:val="Hyperlink"/>
                  <w:rFonts w:asciiTheme="minorHAnsi" w:eastAsia="Times New Roman" w:hAnsiTheme="minorHAnsi" w:cstheme="minorHAnsi"/>
                  <w:sz w:val="20"/>
                </w:rPr>
                <w:t>General Circular 2016-015</w:t>
              </w:r>
            </w:hyperlink>
            <w:r w:rsidR="00CD50E5"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>)</w:t>
            </w:r>
            <w:r w:rsidR="005615ED"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  <w:r w:rsidR="00D61D58"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>(</w:t>
            </w:r>
            <w:r w:rsidR="00D61D58"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>D</w:t>
            </w:r>
            <w:r w:rsidR="005615ED"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 xml:space="preserve">iscrepancies </w:t>
            </w:r>
            <w:r w:rsidR="003E56EA"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 xml:space="preserve">found </w:t>
            </w:r>
            <w:r w:rsidR="001466DD"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>need to</w:t>
            </w:r>
            <w:r w:rsidR="005615ED"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 xml:space="preserve"> be </w:t>
            </w:r>
            <w:r w:rsidR="00D120D8"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>corrected i</w:t>
            </w:r>
            <w:r w:rsidR="005615ED"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 xml:space="preserve">n the agency’s HR </w:t>
            </w:r>
            <w:r w:rsidR="00D61D58"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>system immediately)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AE4D" w14:textId="77777777" w:rsidR="00700F1D" w:rsidRPr="00C30249" w:rsidRDefault="00700F1D" w:rsidP="00883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FA0B4" w14:textId="77777777" w:rsidR="00700F1D" w:rsidRPr="00C30249" w:rsidRDefault="00700F1D" w:rsidP="00883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700F1D" w:rsidRPr="00700F1D" w14:paraId="149AC65E" w14:textId="77777777" w:rsidTr="00883370">
        <w:trPr>
          <w:trHeight w:val="402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0EF48" w14:textId="27ABF746" w:rsidR="00700F1D" w:rsidRPr="00C30249" w:rsidRDefault="00700F1D" w:rsidP="00700F1D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>Generate layoff analysis with proposed org units, career fields, positions (job title) salary level, employees and employee adjusted service dates</w:t>
            </w:r>
            <w:r w:rsidR="00C30249"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. </w:t>
            </w:r>
            <w:r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Identify targeted positions. </w:t>
            </w:r>
            <w:r w:rsidR="008D6F64">
              <w:rPr>
                <w:rFonts w:asciiTheme="minorHAnsi" w:eastAsia="Times New Roman" w:hAnsiTheme="minorHAnsi" w:cstheme="minorHAnsi"/>
                <w:color w:val="000000"/>
                <w:sz w:val="20"/>
              </w:rPr>
              <w:t>Identify employees with a Needs Improvement/Unsuccessful (17.15(b)).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84F0F" w14:textId="77777777" w:rsidR="00700F1D" w:rsidRPr="00C30249" w:rsidRDefault="00700F1D" w:rsidP="00883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DCB3D" w14:textId="77777777" w:rsidR="00700F1D" w:rsidRPr="00C30249" w:rsidRDefault="00700F1D" w:rsidP="00883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700F1D" w:rsidRPr="00700F1D" w14:paraId="6357994F" w14:textId="77777777" w:rsidTr="00883370">
        <w:trPr>
          <w:trHeight w:val="402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8CA82" w14:textId="213F5C82" w:rsidR="00700F1D" w:rsidRPr="00C30249" w:rsidRDefault="00700F1D" w:rsidP="00700F1D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</w:pPr>
            <w:r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 xml:space="preserve">Start Consultation with </w:t>
            </w:r>
            <w:r w:rsidR="00CB6647"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 xml:space="preserve">SCS </w:t>
            </w:r>
            <w:r w:rsidR="00D36275" w:rsidRPr="00D36275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>HR Program Support Consultant</w:t>
            </w:r>
            <w:r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>*</w:t>
            </w:r>
          </w:p>
          <w:p w14:paraId="1C3DA636" w14:textId="77777777" w:rsidR="00700F1D" w:rsidRPr="00C30249" w:rsidRDefault="00700F1D" w:rsidP="00700F1D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</w:pPr>
            <w:r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>(on-going throughout the layoff planning &amp; process)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E15F3" w14:textId="77777777" w:rsidR="00700F1D" w:rsidRPr="00C30249" w:rsidRDefault="00700F1D" w:rsidP="00883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CC4D3" w14:textId="77777777" w:rsidR="00700F1D" w:rsidRPr="00C30249" w:rsidRDefault="00700F1D" w:rsidP="00883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700F1D" w:rsidRPr="00700F1D" w14:paraId="7F377519" w14:textId="77777777" w:rsidTr="00883370">
        <w:trPr>
          <w:trHeight w:val="402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1508E" w14:textId="77777777" w:rsidR="00700F1D" w:rsidRPr="00C30249" w:rsidRDefault="00700F1D" w:rsidP="00112A3D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</w:pPr>
            <w:r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Personnel Action Fiscal Impact Statement Submitted to OPB </w:t>
            </w:r>
            <w:r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>(</w:t>
            </w:r>
            <w:r w:rsidR="00112A3D"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>recommended to</w:t>
            </w:r>
            <w:r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 xml:space="preserve"> submit 5 working days prior to posting the “General Notice of Impending Layoff”)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C1DCB" w14:textId="77777777" w:rsidR="00700F1D" w:rsidRPr="00C30249" w:rsidRDefault="00700F1D" w:rsidP="00883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FD628" w14:textId="77777777" w:rsidR="00700F1D" w:rsidRPr="00C30249" w:rsidRDefault="00700F1D" w:rsidP="00883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700F1D" w:rsidRPr="00700F1D" w14:paraId="1B2D9735" w14:textId="77777777" w:rsidTr="00C30249">
        <w:trPr>
          <w:trHeight w:val="260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4459C" w14:textId="77777777" w:rsidR="00700F1D" w:rsidRPr="00C30249" w:rsidRDefault="00D61D58" w:rsidP="00700F1D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>Post</w:t>
            </w:r>
            <w:r w:rsidR="00700F1D"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the "General Notice of Impending Layoff"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F192A" w14:textId="77777777" w:rsidR="00700F1D" w:rsidRPr="00C30249" w:rsidRDefault="00700F1D" w:rsidP="00883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5092B" w14:textId="77777777" w:rsidR="00700F1D" w:rsidRPr="00C30249" w:rsidRDefault="00700F1D" w:rsidP="00883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700F1D" w:rsidRPr="00700F1D" w14:paraId="573EC072" w14:textId="77777777" w:rsidTr="00C30249">
        <w:trPr>
          <w:trHeight w:val="60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E84FA" w14:textId="77777777" w:rsidR="00700F1D" w:rsidRPr="00C30249" w:rsidRDefault="00D61D58" w:rsidP="00700F1D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>Draft</w:t>
            </w:r>
            <w:r w:rsidR="00700F1D"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Layoff Plan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0318E" w14:textId="77777777" w:rsidR="00700F1D" w:rsidRPr="00C30249" w:rsidRDefault="00700F1D" w:rsidP="00883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9DA0C" w14:textId="77777777" w:rsidR="00700F1D" w:rsidRPr="00C30249" w:rsidRDefault="00700F1D" w:rsidP="00883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700F1D" w:rsidRPr="00700F1D" w14:paraId="5654A570" w14:textId="77777777" w:rsidTr="00C30249">
        <w:trPr>
          <w:trHeight w:val="89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9B733" w14:textId="77777777" w:rsidR="00700F1D" w:rsidRPr="00C30249" w:rsidRDefault="00D61D58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Delivered </w:t>
            </w:r>
            <w:r w:rsidR="00700F1D"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>Proposed Layoff Plan to SCS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5D493" w14:textId="77777777" w:rsidR="00700F1D" w:rsidRPr="00C30249" w:rsidRDefault="00700F1D" w:rsidP="00883370">
            <w:pPr>
              <w:jc w:val="center"/>
              <w:rPr>
                <w:rFonts w:asciiTheme="minorHAnsi" w:eastAsia="Calibri" w:hAnsiTheme="minorHAnsi" w:cstheme="minorHAnsi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8FC52" w14:textId="77777777" w:rsidR="00700F1D" w:rsidRPr="00C30249" w:rsidRDefault="00700F1D" w:rsidP="00883370">
            <w:pPr>
              <w:jc w:val="center"/>
              <w:rPr>
                <w:rFonts w:asciiTheme="minorHAnsi" w:eastAsia="Calibri" w:hAnsiTheme="minorHAnsi" w:cstheme="minorHAnsi"/>
                <w:sz w:val="20"/>
              </w:rPr>
            </w:pPr>
          </w:p>
        </w:tc>
      </w:tr>
      <w:tr w:rsidR="00700F1D" w:rsidRPr="00700F1D" w14:paraId="054F0DF6" w14:textId="77777777" w:rsidTr="00C30249">
        <w:trPr>
          <w:trHeight w:val="107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B96C1" w14:textId="77777777" w:rsidR="00700F1D" w:rsidRPr="00C30249" w:rsidRDefault="00CB6647" w:rsidP="00700F1D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Date </w:t>
            </w:r>
            <w:r w:rsidR="00700F1D"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>Individual Noti</w:t>
            </w:r>
            <w:r w:rsidR="00D61D58"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fication of Pending Layoffs </w:t>
            </w:r>
            <w:r w:rsidR="00D61D58"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>Mailed/Hand delivered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30E28" w14:textId="77777777" w:rsidR="00700F1D" w:rsidRPr="00C30249" w:rsidRDefault="00700F1D" w:rsidP="00883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2D62B" w14:textId="77777777" w:rsidR="00700F1D" w:rsidRPr="00C30249" w:rsidRDefault="00700F1D" w:rsidP="00883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700F1D" w:rsidRPr="00700F1D" w14:paraId="2EA60DA2" w14:textId="77777777" w:rsidTr="00883370">
        <w:trPr>
          <w:trHeight w:val="402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73DC8" w14:textId="7CB65FCA" w:rsidR="00700F1D" w:rsidRPr="00C30249" w:rsidRDefault="00700F1D" w:rsidP="00700F1D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</w:pPr>
            <w:r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>5</w:t>
            </w:r>
            <w:r w:rsidR="00C84346">
              <w:rPr>
                <w:rFonts w:asciiTheme="minorHAnsi" w:eastAsia="Times New Roman" w:hAnsiTheme="minorHAnsi" w:cstheme="minorHAnsi"/>
                <w:color w:val="000000"/>
                <w:sz w:val="20"/>
              </w:rPr>
              <w:t>-</w:t>
            </w:r>
            <w:r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Day waiting period (minimum) </w:t>
            </w:r>
            <w:r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  <w:u w:val="single"/>
              </w:rPr>
              <w:t>BEFORE</w:t>
            </w:r>
            <w:r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approval of layoff plan**</w:t>
            </w:r>
            <w:r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 xml:space="preserve"> </w:t>
            </w:r>
          </w:p>
          <w:p w14:paraId="1069E9F7" w14:textId="77777777" w:rsidR="00700F1D" w:rsidRPr="00C30249" w:rsidRDefault="00700F1D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</w:pPr>
            <w:r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>(Earliest SCS approval of plan is at least 5 calendar days following delivery</w:t>
            </w:r>
            <w:r w:rsidR="00D61D58"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 xml:space="preserve"> of the last individual notice)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16712" w14:textId="77777777" w:rsidR="00700F1D" w:rsidRPr="00C30249" w:rsidRDefault="00700F1D" w:rsidP="00883370">
            <w:pPr>
              <w:jc w:val="center"/>
              <w:rPr>
                <w:rFonts w:asciiTheme="minorHAnsi" w:eastAsia="Calibri" w:hAnsiTheme="minorHAnsi" w:cstheme="minorHAnsi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BFC2C" w14:textId="77777777" w:rsidR="00700F1D" w:rsidRPr="00C30249" w:rsidRDefault="00700F1D" w:rsidP="00883370">
            <w:pPr>
              <w:jc w:val="center"/>
              <w:rPr>
                <w:rFonts w:asciiTheme="minorHAnsi" w:eastAsia="Calibri" w:hAnsiTheme="minorHAnsi" w:cstheme="minorHAnsi"/>
                <w:sz w:val="20"/>
              </w:rPr>
            </w:pPr>
          </w:p>
        </w:tc>
      </w:tr>
      <w:tr w:rsidR="00700F1D" w:rsidRPr="00700F1D" w14:paraId="6169EFD1" w14:textId="77777777" w:rsidTr="00C30249">
        <w:trPr>
          <w:trHeight w:val="98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5DE0A" w14:textId="77777777" w:rsidR="00700F1D" w:rsidRPr="00C30249" w:rsidRDefault="00D61D58" w:rsidP="00700F1D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>SCS Approval of Plan (</w:t>
            </w:r>
            <w:r w:rsidR="00700F1D"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>Hiring Freeze in effect)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3E578" w14:textId="77777777" w:rsidR="00700F1D" w:rsidRPr="00C30249" w:rsidRDefault="00700F1D" w:rsidP="00883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72381" w14:textId="77777777" w:rsidR="00700F1D" w:rsidRPr="00C30249" w:rsidRDefault="00700F1D" w:rsidP="00883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700F1D" w:rsidRPr="00700F1D" w14:paraId="3285D577" w14:textId="77777777" w:rsidTr="00C30249">
        <w:trPr>
          <w:trHeight w:val="116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20A9B" w14:textId="77777777" w:rsidR="00700F1D" w:rsidRPr="00C30249" w:rsidRDefault="00700F1D" w:rsidP="00700F1D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>Date Approved Layoff Plan Made Available to Employees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DA272" w14:textId="77777777" w:rsidR="00700F1D" w:rsidRPr="00C30249" w:rsidRDefault="00700F1D" w:rsidP="00883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DA37C" w14:textId="77777777" w:rsidR="00700F1D" w:rsidRPr="00C30249" w:rsidRDefault="00700F1D" w:rsidP="00883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700F1D" w:rsidRPr="00700F1D" w14:paraId="129DE9BE" w14:textId="77777777" w:rsidTr="00C30249">
        <w:trPr>
          <w:trHeight w:val="143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B152A" w14:textId="77777777" w:rsidR="00700F1D" w:rsidRPr="00C30249" w:rsidRDefault="00D61D58" w:rsidP="00F475E5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Date </w:t>
            </w:r>
            <w:r w:rsidR="00CB6647"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Final </w:t>
            </w:r>
            <w:r w:rsidR="00700F1D"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>Layoff Notices, Relocation Offers &amp; DPRL Forms</w:t>
            </w:r>
            <w:r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  <w:r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>Mailed/Hand delivered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7CB6A" w14:textId="77777777" w:rsidR="00700F1D" w:rsidRPr="00C30249" w:rsidRDefault="00700F1D" w:rsidP="00883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39593" w14:textId="77777777" w:rsidR="00700F1D" w:rsidRPr="00C30249" w:rsidRDefault="00700F1D" w:rsidP="00883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700F1D" w:rsidRPr="00700F1D" w14:paraId="6CCE19FF" w14:textId="77777777" w:rsidTr="00883370">
        <w:trPr>
          <w:trHeight w:val="402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CE07C" w14:textId="7770152A" w:rsidR="00700F1D" w:rsidRPr="00C30249" w:rsidRDefault="00700F1D" w:rsidP="00700F1D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>5</w:t>
            </w:r>
            <w:r w:rsidR="00C84346">
              <w:rPr>
                <w:rFonts w:asciiTheme="minorHAnsi" w:eastAsia="Times New Roman" w:hAnsiTheme="minorHAnsi" w:cstheme="minorHAnsi"/>
                <w:color w:val="000000"/>
                <w:sz w:val="20"/>
              </w:rPr>
              <w:t>-</w:t>
            </w:r>
            <w:r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Day waiting period (minimum) </w:t>
            </w:r>
            <w:r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  <w:u w:val="single"/>
              </w:rPr>
              <w:t>BEFORE</w:t>
            </w:r>
            <w:r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layoff effective date**</w:t>
            </w:r>
          </w:p>
          <w:p w14:paraId="21DCD34F" w14:textId="77777777" w:rsidR="00700F1D" w:rsidRPr="00C30249" w:rsidRDefault="00700F1D" w:rsidP="00700F1D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</w:pPr>
            <w:r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>(5 calendar days must pass after the notice/offer to last affected employee before the layoff can become effective</w:t>
            </w:r>
            <w:r w:rsidR="00C30249"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 xml:space="preserve">. </w:t>
            </w:r>
            <w:r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>The layoff becomes effective on the 6</w:t>
            </w:r>
            <w:r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  <w:vertAlign w:val="superscript"/>
              </w:rPr>
              <w:t>th</w:t>
            </w:r>
            <w:r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 xml:space="preserve"> day).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34482" w14:textId="77777777" w:rsidR="00700F1D" w:rsidRPr="00C30249" w:rsidRDefault="00700F1D" w:rsidP="00883370">
            <w:pPr>
              <w:jc w:val="center"/>
              <w:rPr>
                <w:rFonts w:asciiTheme="minorHAnsi" w:eastAsia="Calibri" w:hAnsiTheme="minorHAnsi" w:cstheme="minorHAnsi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7FBA8" w14:textId="77777777" w:rsidR="00700F1D" w:rsidRPr="00C30249" w:rsidRDefault="00700F1D" w:rsidP="00883370">
            <w:pPr>
              <w:jc w:val="center"/>
              <w:rPr>
                <w:rFonts w:asciiTheme="minorHAnsi" w:eastAsia="Calibri" w:hAnsiTheme="minorHAnsi" w:cstheme="minorHAnsi"/>
                <w:sz w:val="20"/>
              </w:rPr>
            </w:pPr>
          </w:p>
        </w:tc>
      </w:tr>
      <w:tr w:rsidR="00700F1D" w:rsidRPr="00700F1D" w14:paraId="3A8EE146" w14:textId="77777777" w:rsidTr="006916B9">
        <w:trPr>
          <w:trHeight w:val="402"/>
        </w:trPr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39C82DCB" w14:textId="77777777" w:rsidR="00700F1D" w:rsidRPr="00C30249" w:rsidRDefault="00700F1D" w:rsidP="00C3024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</w:rPr>
            </w:pPr>
            <w:r w:rsidRPr="00C30249">
              <w:rPr>
                <w:rFonts w:asciiTheme="minorHAnsi" w:eastAsia="Times New Roman" w:hAnsiTheme="minorHAnsi" w:cstheme="minorHAnsi"/>
                <w:b/>
                <w:color w:val="000000"/>
                <w:sz w:val="22"/>
              </w:rPr>
              <w:t>EFFECTIVE DATE OF LAYOFF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4F919CC9" w14:textId="77777777" w:rsidR="00700F1D" w:rsidRPr="00C30249" w:rsidRDefault="00700F1D" w:rsidP="00700F1D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038B545" w14:textId="77777777" w:rsidR="00700F1D" w:rsidRPr="00C30249" w:rsidRDefault="00700F1D" w:rsidP="00700F1D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700F1D" w:rsidRPr="00700F1D" w14:paraId="23E16130" w14:textId="77777777" w:rsidTr="00883370">
        <w:trPr>
          <w:trHeight w:val="402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4FFAB" w14:textId="77777777" w:rsidR="00700F1D" w:rsidRPr="00C30249" w:rsidRDefault="00700F1D" w:rsidP="00700F1D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30249">
              <w:rPr>
                <w:rFonts w:asciiTheme="minorHAnsi" w:eastAsia="Times New Roman" w:hAnsiTheme="minorHAnsi" w:cstheme="minorHAnsi"/>
                <w:color w:val="000000"/>
                <w:sz w:val="22"/>
              </w:rPr>
              <w:t>Date Submitted Post Layoff Report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0F04E" w14:textId="77777777" w:rsidR="00700F1D" w:rsidRPr="00C30249" w:rsidRDefault="00700F1D" w:rsidP="00883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FA81F" w14:textId="77777777" w:rsidR="00700F1D" w:rsidRPr="00C30249" w:rsidRDefault="00700F1D" w:rsidP="00883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700F1D" w:rsidRPr="00700F1D" w14:paraId="6F256036" w14:textId="77777777" w:rsidTr="00883370">
        <w:trPr>
          <w:trHeight w:val="402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A438F" w14:textId="77777777" w:rsidR="00700F1D" w:rsidRPr="00C30249" w:rsidRDefault="00700F1D" w:rsidP="00700F1D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30249">
              <w:rPr>
                <w:rFonts w:asciiTheme="minorHAnsi" w:eastAsia="Times New Roman" w:hAnsiTheme="minorHAnsi" w:cstheme="minorHAnsi"/>
                <w:color w:val="000000"/>
                <w:sz w:val="22"/>
              </w:rPr>
              <w:t>Date DPRL List Established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E859C" w14:textId="77777777" w:rsidR="00700F1D" w:rsidRPr="00C30249" w:rsidRDefault="00700F1D" w:rsidP="00883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8A882" w14:textId="77777777" w:rsidR="00700F1D" w:rsidRPr="00C30249" w:rsidRDefault="00700F1D" w:rsidP="00883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</w:tbl>
    <w:p w14:paraId="07E8E16B" w14:textId="77777777" w:rsidR="00700F1D" w:rsidRPr="00700F1D" w:rsidRDefault="00700F1D" w:rsidP="00700F1D">
      <w:pPr>
        <w:jc w:val="left"/>
        <w:rPr>
          <w:rFonts w:ascii="Calibri" w:eastAsia="Calibri" w:hAnsi="Calibri" w:cs="Times New Roman"/>
          <w:sz w:val="22"/>
        </w:rPr>
      </w:pPr>
    </w:p>
    <w:p w14:paraId="0C1C8BA2" w14:textId="5C7966BE" w:rsidR="00700F1D" w:rsidRPr="00C30249" w:rsidRDefault="00700F1D" w:rsidP="002E2A14">
      <w:pPr>
        <w:rPr>
          <w:rFonts w:ascii="Calibri" w:eastAsia="Calibri" w:hAnsi="Calibri" w:cs="Times New Roman"/>
          <w:sz w:val="22"/>
          <w:szCs w:val="20"/>
        </w:rPr>
      </w:pPr>
      <w:r w:rsidRPr="00C30249">
        <w:rPr>
          <w:rFonts w:ascii="Calibri" w:eastAsia="Calibri" w:hAnsi="Calibri" w:cs="Times New Roman"/>
          <w:sz w:val="22"/>
          <w:szCs w:val="20"/>
        </w:rPr>
        <w:t xml:space="preserve">*When planning a reduction in force, it is </w:t>
      </w:r>
      <w:r w:rsidRPr="00C30249">
        <w:rPr>
          <w:rFonts w:ascii="Calibri" w:eastAsia="Calibri" w:hAnsi="Calibri" w:cs="Times New Roman"/>
          <w:b/>
          <w:sz w:val="22"/>
          <w:szCs w:val="20"/>
          <w:u w:val="single"/>
        </w:rPr>
        <w:t>strongly encouraged</w:t>
      </w:r>
      <w:r w:rsidRPr="00C30249">
        <w:rPr>
          <w:rFonts w:ascii="Calibri" w:eastAsia="Calibri" w:hAnsi="Calibri" w:cs="Times New Roman"/>
          <w:sz w:val="22"/>
          <w:szCs w:val="20"/>
        </w:rPr>
        <w:t xml:space="preserve"> that the agency makes immediate contact with the appropriate </w:t>
      </w:r>
      <w:r w:rsidR="00D36275" w:rsidRPr="00D36275">
        <w:rPr>
          <w:rFonts w:ascii="Calibri" w:eastAsia="Calibri" w:hAnsi="Calibri" w:cs="Times New Roman"/>
          <w:sz w:val="22"/>
          <w:szCs w:val="20"/>
        </w:rPr>
        <w:t xml:space="preserve">HR Program Support Consultant </w:t>
      </w:r>
      <w:r w:rsidRPr="00C30249">
        <w:rPr>
          <w:rFonts w:ascii="Calibri" w:eastAsia="Calibri" w:hAnsi="Calibri" w:cs="Times New Roman"/>
          <w:sz w:val="22"/>
          <w:szCs w:val="20"/>
        </w:rPr>
        <w:t>to obtain assistance on reviewing the layoff reports discussing varied/unique scenarios that may contribute to the Appointing Authority’s decision-making, provide consultation on the layoff and relocation process, and help determine timelines based on the agency’s requirements.</w:t>
      </w:r>
    </w:p>
    <w:p w14:paraId="3E257D73" w14:textId="77777777" w:rsidR="00700F1D" w:rsidRPr="00C30249" w:rsidRDefault="00700F1D" w:rsidP="002E2A14">
      <w:pPr>
        <w:rPr>
          <w:rFonts w:ascii="Calibri" w:eastAsia="Calibri" w:hAnsi="Calibri" w:cs="Times New Roman"/>
          <w:sz w:val="22"/>
          <w:szCs w:val="20"/>
        </w:rPr>
      </w:pPr>
    </w:p>
    <w:p w14:paraId="3F4A7613" w14:textId="77777777" w:rsidR="004657DE" w:rsidRPr="00C30249" w:rsidRDefault="00700F1D" w:rsidP="002E2A14">
      <w:pPr>
        <w:rPr>
          <w:rFonts w:ascii="Calibri" w:eastAsia="Calibri" w:hAnsi="Calibri" w:cs="Times New Roman"/>
          <w:sz w:val="22"/>
          <w:szCs w:val="20"/>
        </w:rPr>
      </w:pPr>
      <w:r w:rsidRPr="00C30249">
        <w:rPr>
          <w:rFonts w:ascii="Calibri" w:eastAsia="Calibri" w:hAnsi="Calibri" w:cs="Times New Roman"/>
          <w:sz w:val="22"/>
          <w:szCs w:val="20"/>
        </w:rPr>
        <w:t>**NOTE:  Mailing of notices significantly increases the number of days required to complete certain tasks</w:t>
      </w:r>
      <w:r w:rsidR="00C30249" w:rsidRPr="00C30249">
        <w:rPr>
          <w:rFonts w:ascii="Calibri" w:eastAsia="Calibri" w:hAnsi="Calibri" w:cs="Times New Roman"/>
          <w:sz w:val="22"/>
          <w:szCs w:val="20"/>
        </w:rPr>
        <w:t xml:space="preserve">. </w:t>
      </w:r>
      <w:r w:rsidRPr="00C30249">
        <w:rPr>
          <w:rFonts w:ascii="Calibri" w:eastAsia="Calibri" w:hAnsi="Calibri" w:cs="Times New Roman"/>
          <w:sz w:val="22"/>
          <w:szCs w:val="20"/>
        </w:rPr>
        <w:t xml:space="preserve">If the notification is by mail, allow </w:t>
      </w:r>
      <w:r w:rsidR="00C30249" w:rsidRPr="00C30249">
        <w:rPr>
          <w:rFonts w:ascii="Calibri" w:eastAsia="Calibri" w:hAnsi="Calibri" w:cs="Times New Roman"/>
          <w:sz w:val="22"/>
          <w:szCs w:val="20"/>
        </w:rPr>
        <w:t>seven</w:t>
      </w:r>
      <w:r w:rsidRPr="00C30249">
        <w:rPr>
          <w:rFonts w:ascii="Calibri" w:eastAsia="Calibri" w:hAnsi="Calibri" w:cs="Times New Roman"/>
          <w:sz w:val="22"/>
          <w:szCs w:val="20"/>
        </w:rPr>
        <w:t xml:space="preserve"> days for mail delivery and an additional 5-day period for employee comments. By </w:t>
      </w:r>
      <w:r w:rsidR="00C30249" w:rsidRPr="00C30249">
        <w:rPr>
          <w:rFonts w:ascii="Calibri" w:eastAsia="Calibri" w:hAnsi="Calibri" w:cs="Times New Roman"/>
          <w:sz w:val="22"/>
          <w:szCs w:val="20"/>
        </w:rPr>
        <w:t>rule,</w:t>
      </w:r>
      <w:r w:rsidRPr="00C30249">
        <w:rPr>
          <w:rFonts w:ascii="Calibri" w:eastAsia="Calibri" w:hAnsi="Calibri" w:cs="Times New Roman"/>
          <w:sz w:val="22"/>
          <w:szCs w:val="20"/>
        </w:rPr>
        <w:t xml:space="preserve"> a minimum of </w:t>
      </w:r>
      <w:r w:rsidR="00C30249" w:rsidRPr="00C30249">
        <w:rPr>
          <w:rFonts w:ascii="Calibri" w:eastAsia="Calibri" w:hAnsi="Calibri" w:cs="Times New Roman"/>
          <w:sz w:val="22"/>
          <w:szCs w:val="20"/>
        </w:rPr>
        <w:t>five</w:t>
      </w:r>
      <w:r w:rsidRPr="00C30249">
        <w:rPr>
          <w:rFonts w:ascii="Calibri" w:eastAsia="Calibri" w:hAnsi="Calibri" w:cs="Times New Roman"/>
          <w:sz w:val="22"/>
          <w:szCs w:val="20"/>
        </w:rPr>
        <w:t xml:space="preserve"> calendar days is required.  </w:t>
      </w:r>
    </w:p>
    <w:sectPr w:rsidR="004657DE" w:rsidRPr="00C30249" w:rsidSect="0090011B">
      <w:headerReference w:type="default" r:id="rId9"/>
      <w:pgSz w:w="12240" w:h="15840"/>
      <w:pgMar w:top="1440" w:right="1440" w:bottom="864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6F70" w14:textId="77777777" w:rsidR="00FB6CE1" w:rsidRDefault="00FB6CE1" w:rsidP="003F1A1E">
      <w:r>
        <w:separator/>
      </w:r>
    </w:p>
  </w:endnote>
  <w:endnote w:type="continuationSeparator" w:id="0">
    <w:p w14:paraId="3E115DAE" w14:textId="77777777" w:rsidR="00FB6CE1" w:rsidRDefault="00FB6CE1" w:rsidP="003F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F29B0" w14:textId="77777777" w:rsidR="00FB6CE1" w:rsidRDefault="00FB6CE1" w:rsidP="003F1A1E">
      <w:r>
        <w:separator/>
      </w:r>
    </w:p>
  </w:footnote>
  <w:footnote w:type="continuationSeparator" w:id="0">
    <w:p w14:paraId="3EBCF18A" w14:textId="77777777" w:rsidR="00FB6CE1" w:rsidRDefault="00FB6CE1" w:rsidP="003F1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color w:val="7F7F7F" w:themeColor="text1" w:themeTint="80"/>
        <w:szCs w:val="24"/>
      </w:rPr>
      <w:id w:val="2145157576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0"/>
        <w:szCs w:val="20"/>
      </w:rPr>
    </w:sdtEndPr>
    <w:sdtContent>
      <w:p w14:paraId="30DF748F" w14:textId="77777777" w:rsidR="006916B9" w:rsidRPr="005231D9" w:rsidRDefault="006916B9" w:rsidP="003F1A1E">
        <w:pPr>
          <w:autoSpaceDE w:val="0"/>
          <w:autoSpaceDN w:val="0"/>
          <w:adjustRightInd w:val="0"/>
          <w:jc w:val="right"/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</w:pPr>
        <w:r w:rsidRPr="005231D9"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  <w:t>JOB AIDS AND RESOURCES</w:t>
        </w:r>
      </w:p>
      <w:p w14:paraId="07875863" w14:textId="77777777" w:rsidR="006916B9" w:rsidRPr="005231D9" w:rsidRDefault="006916B9" w:rsidP="003F1A1E">
        <w:pPr>
          <w:autoSpaceDE w:val="0"/>
          <w:autoSpaceDN w:val="0"/>
          <w:adjustRightInd w:val="0"/>
          <w:jc w:val="right"/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</w:pPr>
        <w:r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  <w:t xml:space="preserve">Layoff </w:t>
        </w:r>
        <w:r w:rsidR="00C30249"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  <w:t>Checklist</w:t>
        </w:r>
      </w:p>
      <w:p w14:paraId="6E56778C" w14:textId="77777777" w:rsidR="006916B9" w:rsidRPr="005231D9" w:rsidRDefault="006916B9" w:rsidP="003F1A1E">
        <w:pPr>
          <w:tabs>
            <w:tab w:val="center" w:pos="4680"/>
            <w:tab w:val="right" w:pos="9360"/>
          </w:tabs>
          <w:jc w:val="right"/>
          <w:rPr>
            <w:rFonts w:asciiTheme="minorHAnsi" w:hAnsiTheme="minorHAnsi"/>
            <w:color w:val="7F7F7F" w:themeColor="text1" w:themeTint="80"/>
            <w:sz w:val="20"/>
            <w:szCs w:val="20"/>
          </w:rPr>
        </w:pPr>
        <w:r w:rsidRPr="005231D9">
          <w:rPr>
            <w:rFonts w:asciiTheme="minorHAnsi" w:hAnsiTheme="minorHAnsi"/>
            <w:color w:val="7F7F7F" w:themeColor="text1" w:themeTint="80"/>
            <w:sz w:val="20"/>
            <w:szCs w:val="20"/>
          </w:rPr>
          <w:t xml:space="preserve">Page </w: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begin"/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instrText xml:space="preserve"> PAGE </w:instrTex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separate"/>
        </w:r>
        <w:r w:rsidR="00C30249">
          <w:rPr>
            <w:rFonts w:asciiTheme="minorHAnsi" w:hAnsiTheme="minorHAnsi"/>
            <w:b/>
            <w:bCs/>
            <w:noProof/>
            <w:color w:val="7F7F7F" w:themeColor="text1" w:themeTint="80"/>
            <w:sz w:val="20"/>
            <w:szCs w:val="20"/>
          </w:rPr>
          <w:t>2</w: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end"/>
        </w:r>
        <w:r w:rsidRPr="005231D9">
          <w:rPr>
            <w:rFonts w:asciiTheme="minorHAnsi" w:hAnsiTheme="minorHAnsi"/>
            <w:color w:val="7F7F7F" w:themeColor="text1" w:themeTint="80"/>
            <w:sz w:val="20"/>
            <w:szCs w:val="20"/>
          </w:rPr>
          <w:t xml:space="preserve"> of </w: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begin"/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instrText xml:space="preserve"> NUMPAGES  </w:instrTex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separate"/>
        </w:r>
        <w:r w:rsidR="00C30249">
          <w:rPr>
            <w:rFonts w:asciiTheme="minorHAnsi" w:hAnsiTheme="minorHAnsi"/>
            <w:b/>
            <w:bCs/>
            <w:noProof/>
            <w:color w:val="7F7F7F" w:themeColor="text1" w:themeTint="80"/>
            <w:sz w:val="20"/>
            <w:szCs w:val="20"/>
          </w:rPr>
          <w:t>2</w: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end"/>
        </w:r>
      </w:p>
    </w:sdtContent>
  </w:sdt>
  <w:p w14:paraId="06352ECC" w14:textId="77777777" w:rsidR="006916B9" w:rsidRDefault="006916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2B8"/>
    <w:multiLevelType w:val="hybridMultilevel"/>
    <w:tmpl w:val="EE56ED64"/>
    <w:lvl w:ilvl="0" w:tplc="D23A9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451D8"/>
    <w:multiLevelType w:val="hybridMultilevel"/>
    <w:tmpl w:val="16C00CF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48E7B91"/>
    <w:multiLevelType w:val="multilevel"/>
    <w:tmpl w:val="9202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E433D"/>
    <w:multiLevelType w:val="hybridMultilevel"/>
    <w:tmpl w:val="56427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C639F"/>
    <w:multiLevelType w:val="hybridMultilevel"/>
    <w:tmpl w:val="9B8E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F56FD"/>
    <w:multiLevelType w:val="multilevel"/>
    <w:tmpl w:val="E42E3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7966AC"/>
    <w:multiLevelType w:val="hybridMultilevel"/>
    <w:tmpl w:val="F9781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17B10"/>
    <w:multiLevelType w:val="hybridMultilevel"/>
    <w:tmpl w:val="FF864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6B10C1"/>
    <w:multiLevelType w:val="multilevel"/>
    <w:tmpl w:val="C6B2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861DB4"/>
    <w:multiLevelType w:val="hybridMultilevel"/>
    <w:tmpl w:val="5F887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77895"/>
    <w:multiLevelType w:val="hybridMultilevel"/>
    <w:tmpl w:val="5B3686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34066A"/>
    <w:multiLevelType w:val="hybridMultilevel"/>
    <w:tmpl w:val="C6D0BD4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 w15:restartNumberingAfterBreak="0">
    <w:nsid w:val="1EBD7392"/>
    <w:multiLevelType w:val="multilevel"/>
    <w:tmpl w:val="08DC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8772CF"/>
    <w:multiLevelType w:val="multilevel"/>
    <w:tmpl w:val="7F3ED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A87A37"/>
    <w:multiLevelType w:val="hybridMultilevel"/>
    <w:tmpl w:val="AD62F4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A608D7"/>
    <w:multiLevelType w:val="multilevel"/>
    <w:tmpl w:val="8D36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E72B11"/>
    <w:multiLevelType w:val="hybridMultilevel"/>
    <w:tmpl w:val="CE485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B2A71"/>
    <w:multiLevelType w:val="hybridMultilevel"/>
    <w:tmpl w:val="D3B42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B1B8F"/>
    <w:multiLevelType w:val="hybridMultilevel"/>
    <w:tmpl w:val="0B727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05309"/>
    <w:multiLevelType w:val="hybridMultilevel"/>
    <w:tmpl w:val="8818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F545C"/>
    <w:multiLevelType w:val="hybridMultilevel"/>
    <w:tmpl w:val="059230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259F6"/>
    <w:multiLevelType w:val="hybridMultilevel"/>
    <w:tmpl w:val="E964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C2F1E"/>
    <w:multiLevelType w:val="hybridMultilevel"/>
    <w:tmpl w:val="5560D322"/>
    <w:lvl w:ilvl="0" w:tplc="74765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64589C"/>
    <w:multiLevelType w:val="hybridMultilevel"/>
    <w:tmpl w:val="1F86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E2978"/>
    <w:multiLevelType w:val="hybridMultilevel"/>
    <w:tmpl w:val="2F7E7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7043D"/>
    <w:multiLevelType w:val="hybridMultilevel"/>
    <w:tmpl w:val="3C74A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812AD"/>
    <w:multiLevelType w:val="hybridMultilevel"/>
    <w:tmpl w:val="6B6A6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492D7D"/>
    <w:multiLevelType w:val="hybridMultilevel"/>
    <w:tmpl w:val="7E44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B5B66"/>
    <w:multiLevelType w:val="hybridMultilevel"/>
    <w:tmpl w:val="3D92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E6248"/>
    <w:multiLevelType w:val="multilevel"/>
    <w:tmpl w:val="824A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5F3859"/>
    <w:multiLevelType w:val="hybridMultilevel"/>
    <w:tmpl w:val="1B7E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316D4"/>
    <w:multiLevelType w:val="hybridMultilevel"/>
    <w:tmpl w:val="EAF8E7D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2" w15:restartNumberingAfterBreak="0">
    <w:nsid w:val="77EB47D1"/>
    <w:multiLevelType w:val="hybridMultilevel"/>
    <w:tmpl w:val="B6429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BF332F"/>
    <w:multiLevelType w:val="multilevel"/>
    <w:tmpl w:val="A75ACF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CC3458"/>
    <w:multiLevelType w:val="hybridMultilevel"/>
    <w:tmpl w:val="79981ED8"/>
    <w:lvl w:ilvl="0" w:tplc="6400CC5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869385">
    <w:abstractNumId w:val="12"/>
  </w:num>
  <w:num w:numId="2" w16cid:durableId="2075815537">
    <w:abstractNumId w:val="29"/>
  </w:num>
  <w:num w:numId="3" w16cid:durableId="496114709">
    <w:abstractNumId w:val="2"/>
  </w:num>
  <w:num w:numId="4" w16cid:durableId="523246824">
    <w:abstractNumId w:val="8"/>
  </w:num>
  <w:num w:numId="5" w16cid:durableId="1703089135">
    <w:abstractNumId w:val="15"/>
  </w:num>
  <w:num w:numId="6" w16cid:durableId="577398800">
    <w:abstractNumId w:val="13"/>
  </w:num>
  <w:num w:numId="7" w16cid:durableId="1846819531">
    <w:abstractNumId w:val="5"/>
  </w:num>
  <w:num w:numId="8" w16cid:durableId="36704253">
    <w:abstractNumId w:val="33"/>
  </w:num>
  <w:num w:numId="9" w16cid:durableId="1960716950">
    <w:abstractNumId w:val="21"/>
  </w:num>
  <w:num w:numId="10" w16cid:durableId="1948080821">
    <w:abstractNumId w:val="14"/>
  </w:num>
  <w:num w:numId="11" w16cid:durableId="347950306">
    <w:abstractNumId w:val="3"/>
  </w:num>
  <w:num w:numId="12" w16cid:durableId="304043316">
    <w:abstractNumId w:val="23"/>
  </w:num>
  <w:num w:numId="13" w16cid:durableId="1691445911">
    <w:abstractNumId w:val="28"/>
  </w:num>
  <w:num w:numId="14" w16cid:durableId="1929078774">
    <w:abstractNumId w:val="11"/>
  </w:num>
  <w:num w:numId="15" w16cid:durableId="332411815">
    <w:abstractNumId w:val="31"/>
  </w:num>
  <w:num w:numId="16" w16cid:durableId="1243954143">
    <w:abstractNumId w:val="1"/>
  </w:num>
  <w:num w:numId="17" w16cid:durableId="573901713">
    <w:abstractNumId w:val="30"/>
  </w:num>
  <w:num w:numId="18" w16cid:durableId="2065564235">
    <w:abstractNumId w:val="19"/>
  </w:num>
  <w:num w:numId="19" w16cid:durableId="161895769">
    <w:abstractNumId w:val="10"/>
  </w:num>
  <w:num w:numId="20" w16cid:durableId="1908148441">
    <w:abstractNumId w:val="22"/>
  </w:num>
  <w:num w:numId="21" w16cid:durableId="531767145">
    <w:abstractNumId w:val="26"/>
  </w:num>
  <w:num w:numId="22" w16cid:durableId="1676567698">
    <w:abstractNumId w:val="25"/>
  </w:num>
  <w:num w:numId="23" w16cid:durableId="951479276">
    <w:abstractNumId w:val="18"/>
  </w:num>
  <w:num w:numId="24" w16cid:durableId="6369131">
    <w:abstractNumId w:val="9"/>
  </w:num>
  <w:num w:numId="25" w16cid:durableId="1439134259">
    <w:abstractNumId w:val="16"/>
  </w:num>
  <w:num w:numId="26" w16cid:durableId="432559554">
    <w:abstractNumId w:val="4"/>
  </w:num>
  <w:num w:numId="27" w16cid:durableId="2057117826">
    <w:abstractNumId w:val="7"/>
  </w:num>
  <w:num w:numId="28" w16cid:durableId="569849208">
    <w:abstractNumId w:val="17"/>
  </w:num>
  <w:num w:numId="29" w16cid:durableId="2138839043">
    <w:abstractNumId w:val="6"/>
  </w:num>
  <w:num w:numId="30" w16cid:durableId="439884696">
    <w:abstractNumId w:val="32"/>
  </w:num>
  <w:num w:numId="31" w16cid:durableId="602542379">
    <w:abstractNumId w:val="20"/>
  </w:num>
  <w:num w:numId="32" w16cid:durableId="48920449">
    <w:abstractNumId w:val="34"/>
  </w:num>
  <w:num w:numId="33" w16cid:durableId="1505051307">
    <w:abstractNumId w:val="27"/>
  </w:num>
  <w:num w:numId="34" w16cid:durableId="221447411">
    <w:abstractNumId w:val="24"/>
  </w:num>
  <w:num w:numId="35" w16cid:durableId="153210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069"/>
    <w:rsid w:val="000208D4"/>
    <w:rsid w:val="00025AE5"/>
    <w:rsid w:val="0002628B"/>
    <w:rsid w:val="00041F5D"/>
    <w:rsid w:val="00043069"/>
    <w:rsid w:val="00052B21"/>
    <w:rsid w:val="00062652"/>
    <w:rsid w:val="000902A6"/>
    <w:rsid w:val="00092032"/>
    <w:rsid w:val="00101449"/>
    <w:rsid w:val="00112A3D"/>
    <w:rsid w:val="001466DD"/>
    <w:rsid w:val="0015258B"/>
    <w:rsid w:val="00185684"/>
    <w:rsid w:val="001857F8"/>
    <w:rsid w:val="001A020C"/>
    <w:rsid w:val="001A0431"/>
    <w:rsid w:val="001B557B"/>
    <w:rsid w:val="001B5674"/>
    <w:rsid w:val="001C76D4"/>
    <w:rsid w:val="002908FF"/>
    <w:rsid w:val="002B1443"/>
    <w:rsid w:val="002E2A14"/>
    <w:rsid w:val="00301A06"/>
    <w:rsid w:val="00342B8D"/>
    <w:rsid w:val="003675D9"/>
    <w:rsid w:val="003775F7"/>
    <w:rsid w:val="003807D1"/>
    <w:rsid w:val="003A3DA0"/>
    <w:rsid w:val="003E56EA"/>
    <w:rsid w:val="003F1A1E"/>
    <w:rsid w:val="00402580"/>
    <w:rsid w:val="004657DE"/>
    <w:rsid w:val="00494DFE"/>
    <w:rsid w:val="004D48D3"/>
    <w:rsid w:val="00512F73"/>
    <w:rsid w:val="005153B7"/>
    <w:rsid w:val="005231D9"/>
    <w:rsid w:val="00555FE6"/>
    <w:rsid w:val="005615ED"/>
    <w:rsid w:val="00563789"/>
    <w:rsid w:val="005D6DDB"/>
    <w:rsid w:val="005E028B"/>
    <w:rsid w:val="00673268"/>
    <w:rsid w:val="006916B9"/>
    <w:rsid w:val="006C6CFE"/>
    <w:rsid w:val="007002EB"/>
    <w:rsid w:val="00700F1D"/>
    <w:rsid w:val="00745E88"/>
    <w:rsid w:val="00775211"/>
    <w:rsid w:val="007D41AA"/>
    <w:rsid w:val="008577DA"/>
    <w:rsid w:val="00883370"/>
    <w:rsid w:val="008C25B0"/>
    <w:rsid w:val="008D1C53"/>
    <w:rsid w:val="008D6F64"/>
    <w:rsid w:val="0090011B"/>
    <w:rsid w:val="00900EC2"/>
    <w:rsid w:val="00945A14"/>
    <w:rsid w:val="00951732"/>
    <w:rsid w:val="00952054"/>
    <w:rsid w:val="009A197A"/>
    <w:rsid w:val="009C3F15"/>
    <w:rsid w:val="00A026A1"/>
    <w:rsid w:val="00AB7218"/>
    <w:rsid w:val="00B204B4"/>
    <w:rsid w:val="00B379DE"/>
    <w:rsid w:val="00B97B76"/>
    <w:rsid w:val="00B97E77"/>
    <w:rsid w:val="00BA74B5"/>
    <w:rsid w:val="00BB1676"/>
    <w:rsid w:val="00BF51E2"/>
    <w:rsid w:val="00C10A22"/>
    <w:rsid w:val="00C30249"/>
    <w:rsid w:val="00C84346"/>
    <w:rsid w:val="00CB6647"/>
    <w:rsid w:val="00CD50E5"/>
    <w:rsid w:val="00CE7D96"/>
    <w:rsid w:val="00CF28E5"/>
    <w:rsid w:val="00D120D8"/>
    <w:rsid w:val="00D36275"/>
    <w:rsid w:val="00D61D58"/>
    <w:rsid w:val="00D646E1"/>
    <w:rsid w:val="00D6614D"/>
    <w:rsid w:val="00D8448A"/>
    <w:rsid w:val="00D86A4F"/>
    <w:rsid w:val="00DA4765"/>
    <w:rsid w:val="00DC30CE"/>
    <w:rsid w:val="00DE0E6A"/>
    <w:rsid w:val="00E01D63"/>
    <w:rsid w:val="00E0631A"/>
    <w:rsid w:val="00E26B0E"/>
    <w:rsid w:val="00E425A6"/>
    <w:rsid w:val="00E55D94"/>
    <w:rsid w:val="00E77D11"/>
    <w:rsid w:val="00EA4496"/>
    <w:rsid w:val="00EC2C99"/>
    <w:rsid w:val="00ED3AF2"/>
    <w:rsid w:val="00EF2095"/>
    <w:rsid w:val="00F475E5"/>
    <w:rsid w:val="00FB6CE1"/>
    <w:rsid w:val="00FD4D6D"/>
    <w:rsid w:val="00FD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A86C1"/>
  <w15:docId w15:val="{D91687AD-C8E7-4856-A41D-16D62649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069"/>
    <w:pPr>
      <w:spacing w:after="0" w:line="240" w:lineRule="auto"/>
      <w:jc w:val="both"/>
    </w:pPr>
    <w:rPr>
      <w:rFonts w:ascii="Arial" w:hAnsi="Arial" w:cstheme="minorBidi"/>
      <w:szCs w:val="22"/>
    </w:rPr>
  </w:style>
  <w:style w:type="paragraph" w:styleId="Heading1">
    <w:name w:val="heading 1"/>
    <w:basedOn w:val="Normal"/>
    <w:next w:val="Normal"/>
    <w:link w:val="Heading1Char"/>
    <w:qFormat/>
    <w:rsid w:val="007D41AA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16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6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1A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A1E"/>
    <w:rPr>
      <w:rFonts w:ascii="Arial" w:hAnsi="Arial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3F1A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A1E"/>
    <w:rPr>
      <w:rFonts w:ascii="Arial" w:hAnsi="Arial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E26B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6B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41AA"/>
    <w:rPr>
      <w:rFonts w:eastAsia="Times New Roman"/>
      <w:b/>
      <w:bCs/>
    </w:rPr>
  </w:style>
  <w:style w:type="paragraph" w:styleId="BodyText">
    <w:name w:val="Body Text"/>
    <w:basedOn w:val="Normal"/>
    <w:link w:val="BodyTextChar"/>
    <w:semiHidden/>
    <w:rsid w:val="007D41AA"/>
    <w:pPr>
      <w:jc w:val="left"/>
    </w:pPr>
    <w:rPr>
      <w:rFonts w:ascii="Times New Roman" w:eastAsia="Times New Roman" w:hAnsi="Times New Roman" w:cs="Arial"/>
      <w:bCs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D41AA"/>
    <w:rPr>
      <w:rFonts w:eastAsia="Times New Roman" w:cs="Arial"/>
      <w:bCs/>
      <w:szCs w:val="20"/>
    </w:rPr>
  </w:style>
  <w:style w:type="paragraph" w:styleId="NoSpacing">
    <w:name w:val="No Spacing"/>
    <w:uiPriority w:val="1"/>
    <w:qFormat/>
    <w:rsid w:val="007D41AA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577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364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765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39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0988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2716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1425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82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1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629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4689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399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95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475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6224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3179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93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95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7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445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429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7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520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6935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vilservice.louisiana.gov/files/general_circulars/2016/GC2016-015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Gloston</dc:creator>
  <cp:lastModifiedBy>Lindsay Ruiz de Chavez</cp:lastModifiedBy>
  <cp:revision>2</cp:revision>
  <cp:lastPrinted>2017-02-23T20:45:00Z</cp:lastPrinted>
  <dcterms:created xsi:type="dcterms:W3CDTF">2023-10-18T15:57:00Z</dcterms:created>
  <dcterms:modified xsi:type="dcterms:W3CDTF">2023-10-18T15:57:00Z</dcterms:modified>
</cp:coreProperties>
</file>